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olor w:val="FFC00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8C4DC0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8C4DC0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598335E" wp14:editId="0AF755B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57150" t="38100" r="10096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3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F75A4DE"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" o:allowincell="f" fillcolor="black [1632]" stroked="f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Pr="008C4DC0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A9D1B11" wp14:editId="18241C8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57150" t="38100" r="80645" b="889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8C6AFFE"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" o:allowincell="f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 w:rsidRPr="008C4DC0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B70DEC4" wp14:editId="441EF26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57150" t="38100" r="80645" b="889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4AA86EA"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" o:allowincell="f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 w:rsidRPr="008C4DC0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FE8834D" wp14:editId="7602033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57150" t="38100" r="10096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3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D2A8743"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" o:allowincell="f" fillcolor="black [1632]" stroked="f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  <w:r w:rsidR="00C229E5" w:rsidRPr="008C4DC0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Центр правовой информации</w:t>
          </w:r>
        </w:p>
        <w:p w:rsidR="00AD6177" w:rsidRPr="00AD6177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215868" w:themeColor="accent5" w:themeShade="80"/>
              <w:sz w:val="32"/>
              <w:szCs w:val="32"/>
              <w:lang w:eastAsia="en-US"/>
            </w:rPr>
          </w:pPr>
        </w:p>
        <w:p w:rsidR="00AD6177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030A0"/>
              <w:sz w:val="32"/>
              <w:szCs w:val="32"/>
              <w:lang w:eastAsia="en-US"/>
            </w:rPr>
          </w:pPr>
        </w:p>
        <w:p w:rsidR="00AD6177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030A0"/>
              <w:sz w:val="32"/>
              <w:szCs w:val="32"/>
              <w:lang w:eastAsia="en-US"/>
            </w:rPr>
          </w:pPr>
        </w:p>
        <w:p w:rsidR="00AD6177" w:rsidRPr="00A24F52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030A0"/>
              <w:sz w:val="32"/>
              <w:szCs w:val="32"/>
              <w:lang w:eastAsia="en-US"/>
            </w:rPr>
          </w:pPr>
        </w:p>
        <w:p w:rsidR="00BC74C8" w:rsidRPr="0071274F" w:rsidRDefault="00BC74C8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548DD4" w:themeColor="text2" w:themeTint="99"/>
              <w:sz w:val="32"/>
              <w:szCs w:val="32"/>
              <w:lang w:eastAsia="en-US"/>
            </w:rPr>
          </w:pPr>
        </w:p>
        <w:p w:rsidR="00C229E5" w:rsidRPr="00BC74C8" w:rsidRDefault="00A36D41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43634" w:themeColor="accent2" w:themeShade="BF"/>
              <w:sz w:val="32"/>
              <w:szCs w:val="32"/>
              <w:lang w:eastAsia="en-US"/>
            </w:rPr>
          </w:pPr>
          <w:r w:rsidRPr="00156818">
            <w:rPr>
              <w:noProof/>
              <w:color w:val="FFC000"/>
            </w:rPr>
            <w:t xml:space="preserve">     </w:t>
          </w:r>
        </w:p>
        <w:p w:rsidR="004E0AA7" w:rsidRPr="00156818" w:rsidRDefault="000A5CB8">
          <w:pPr>
            <w:pStyle w:val="a8"/>
            <w:rPr>
              <w:rFonts w:asciiTheme="majorHAnsi" w:eastAsiaTheme="majorEastAsia" w:hAnsiTheme="majorHAnsi" w:cstheme="majorBidi"/>
              <w:color w:val="FFC000"/>
              <w:sz w:val="36"/>
              <w:szCs w:val="36"/>
            </w:rPr>
          </w:pPr>
          <w:r w:rsidRPr="00156818">
            <w:rPr>
              <w:noProof/>
              <w:color w:val="FFC000"/>
            </w:rPr>
            <w:t xml:space="preserve"> </w:t>
          </w:r>
        </w:p>
        <w:p w:rsidR="00F738B0" w:rsidRDefault="00F738B0">
          <w:pPr>
            <w:pStyle w:val="a8"/>
            <w:rPr>
              <w:noProof/>
            </w:rPr>
          </w:pPr>
        </w:p>
        <w:p w:rsidR="004E0AA7" w:rsidRPr="00156818" w:rsidRDefault="008C4DC0">
          <w:pPr>
            <w:pStyle w:val="a8"/>
            <w:rPr>
              <w:rFonts w:asciiTheme="majorHAnsi" w:eastAsiaTheme="majorEastAsia" w:hAnsiTheme="majorHAnsi" w:cstheme="majorBidi"/>
              <w:color w:val="FFC000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4876800" cy="3248025"/>
                <wp:effectExtent l="0" t="0" r="0" b="9525"/>
                <wp:docPr id="4" name="Рисунок 4" descr="Как правильно дарить имущество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к правильно дарить имущество?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0AA7" w:rsidRPr="00156818" w:rsidRDefault="004E0AA7">
          <w:pPr>
            <w:rPr>
              <w:noProof/>
              <w:color w:val="FFC000"/>
              <w:lang w:eastAsia="ru-RU"/>
            </w:rPr>
          </w:pPr>
        </w:p>
        <w:p w:rsidR="00A24F52" w:rsidRPr="008C4DC0" w:rsidRDefault="008C4DC0">
          <w:pPr>
            <w:rPr>
              <w:rFonts w:asciiTheme="majorHAnsi" w:eastAsiaTheme="majorEastAsia" w:hAnsiTheme="majorHAnsi" w:cstheme="majorBidi"/>
              <w:b/>
              <w:i/>
              <w:sz w:val="72"/>
              <w:szCs w:val="72"/>
              <w:lang w:eastAsia="ru-RU"/>
            </w:rPr>
          </w:pPr>
          <w:bookmarkStart w:id="0" w:name="_GoBack"/>
          <w:r w:rsidRPr="008C4DC0">
            <w:rPr>
              <w:rFonts w:asciiTheme="majorHAnsi" w:eastAsiaTheme="majorEastAsia" w:hAnsiTheme="majorHAnsi" w:cstheme="majorBidi"/>
              <w:b/>
              <w:i/>
              <w:sz w:val="72"/>
              <w:szCs w:val="72"/>
              <w:lang w:eastAsia="ru-RU"/>
            </w:rPr>
            <w:t>Как правильно дарить имущество</w:t>
          </w:r>
        </w:p>
        <w:bookmarkEnd w:id="0"/>
        <w:p w:rsidR="00380C7B" w:rsidRPr="008C4DC0" w:rsidRDefault="00A24F52">
          <w:pPr>
            <w:rPr>
              <w:i/>
              <w:noProof/>
              <w:lang w:eastAsia="ru-RU"/>
            </w:rPr>
          </w:pPr>
          <w:r w:rsidRPr="008C4DC0">
            <w:rPr>
              <w:rFonts w:asciiTheme="majorHAnsi" w:eastAsiaTheme="majorEastAsia" w:hAnsiTheme="majorHAnsi" w:cstheme="majorBidi"/>
              <w:i/>
              <w:sz w:val="36"/>
              <w:szCs w:val="36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i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F738B0" w:rsidRPr="008C4DC0">
                <w:rPr>
                  <w:rFonts w:asciiTheme="majorHAnsi" w:eastAsiaTheme="majorEastAsia" w:hAnsiTheme="majorHAnsi" w:cstheme="majorBidi"/>
                  <w:i/>
                  <w:sz w:val="36"/>
                  <w:szCs w:val="36"/>
                </w:rPr>
                <w:t>И</w:t>
              </w:r>
              <w:r w:rsidR="00F77147" w:rsidRPr="008C4DC0">
                <w:rPr>
                  <w:rFonts w:asciiTheme="majorHAnsi" w:eastAsiaTheme="majorEastAsia" w:hAnsiTheme="majorHAnsi" w:cstheme="majorBidi"/>
                  <w:i/>
                  <w:sz w:val="36"/>
                  <w:szCs w:val="36"/>
                </w:rPr>
                <w:t>нформационная памятка</w:t>
              </w:r>
            </w:sdtContent>
          </w:sdt>
        </w:p>
        <w:p w:rsidR="00156818" w:rsidRPr="00A24F52" w:rsidRDefault="00156818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7C320D" w:rsidRDefault="007C320D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AD6177" w:rsidRPr="00A24F52" w:rsidRDefault="00AD6177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AD6177">
            <w:rPr>
              <w:rFonts w:ascii="Times New Roman" w:hAnsi="Times New Roman" w:cs="Times New Roman"/>
              <w:b/>
              <w:noProof/>
              <w:color w:val="215868" w:themeColor="accent5" w:themeShade="80"/>
              <w:sz w:val="32"/>
              <w:szCs w:val="32"/>
              <w:lang w:eastAsia="ru-RU"/>
            </w:rPr>
            <w:t xml:space="preserve">                                           </w:t>
          </w:r>
          <w:r w:rsidRPr="008C4DC0">
            <w:rPr>
              <w:rFonts w:ascii="Times New Roman" w:hAnsi="Times New Roman" w:cs="Times New Roman"/>
              <w:b/>
              <w:i/>
              <w:noProof/>
              <w:sz w:val="32"/>
              <w:szCs w:val="32"/>
              <w:lang w:eastAsia="ru-RU"/>
            </w:rPr>
            <w:t>Обоянь, 20</w:t>
          </w:r>
          <w:r w:rsidR="006C76DE" w:rsidRPr="008C4DC0">
            <w:rPr>
              <w:rFonts w:ascii="Times New Roman" w:hAnsi="Times New Roman" w:cs="Times New Roman"/>
              <w:b/>
              <w:i/>
              <w:noProof/>
              <w:sz w:val="32"/>
              <w:szCs w:val="32"/>
              <w:lang w:eastAsia="ru-RU"/>
            </w:rPr>
            <w:t>20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lastRenderedPageBreak/>
        <w:t>Дарение, без сомнений, является одним из самых распространенных способов передачи имущества. По договору дар</w:t>
      </w:r>
      <w:r>
        <w:rPr>
          <w:rFonts w:ascii="Times New Roman" w:hAnsi="Times New Roman" w:cs="Times New Roman"/>
          <w:sz w:val="28"/>
          <w:szCs w:val="28"/>
        </w:rPr>
        <w:t>ения можно передать что угодно 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коллекцию картин, автомобиль. Очень часто к дарению прибегают, когда хотят передать родным ил</w:t>
      </w:r>
      <w:r>
        <w:rPr>
          <w:rFonts w:ascii="Times New Roman" w:hAnsi="Times New Roman" w:cs="Times New Roman"/>
          <w:sz w:val="28"/>
          <w:szCs w:val="28"/>
        </w:rPr>
        <w:t>и близким недвижимое имущество 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квартиру, дом, земельный участок. И в случае с такими ценными подарками важно позаботиться о том, чтобы договор был оформлен юридически грамотно. При этом важно помнить и про некоторые «подводные камни».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A9" w:rsidRDefault="008C4DC0" w:rsidP="008C4DC0">
      <w:pPr>
        <w:shd w:val="clear" w:color="auto" w:fill="8DB3E2" w:themeFill="text2" w:themeFillTint="66"/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>Договор дарения, или «дарственная», как часто называют этот документ, это договор, по которому одна сторона (даритель) безвозмездно передает или обязуется передать другой стороне (одаряемому) имущество в собственность. Заключается договор дарения обязательно в письменной форме.</w:t>
      </w:r>
    </w:p>
    <w:p w:rsidR="00D10CA9" w:rsidRDefault="00D10CA9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A9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0975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ni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Важный нюанс: дарение 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безвозмездная сделка! То есть вы не можете требовать от лица, которому собираетесь сделать подарок, исполнения в отношении вас каких-либо обязательств, например, требовать выплатить вам деньги, передать какое-либо имущество взамен, оказать какую-либо услугу и тому подобное. </w:t>
      </w:r>
    </w:p>
    <w:p w:rsidR="008C4DC0" w:rsidRPr="008C4DC0" w:rsidRDefault="008C4DC0" w:rsidP="008C4DC0">
      <w:pPr>
        <w:shd w:val="clear" w:color="auto" w:fill="8DB3E2" w:themeFill="text2" w:themeFillTint="66"/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>Очень важно понимать: как только вы поставили свою подпись под договором, в котором сказано, что вы дарите с</w:t>
      </w:r>
      <w:r>
        <w:rPr>
          <w:rFonts w:ascii="Times New Roman" w:hAnsi="Times New Roman" w:cs="Times New Roman"/>
          <w:sz w:val="28"/>
          <w:szCs w:val="28"/>
        </w:rPr>
        <w:t>вою квартиру, например, сестре 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квартира уже вам не принадлежит. И вас в любой момент могут из нее выписать и даже выселить. На вполне законных основаниях. Именно поэтому, собираясь заключить договор дарения, подумать нужно особенно хорошо.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Часто случается, что жертвами собственной недостаточной информированности о том, какие последствия может иметь дарение, становятся пожилые люди. Они дарят свою недвижимость совершенно чужим людям, которые уверяют их, что после того, как квартира перейдет в собственность одаряемого, они смогут спокойно в ней проживать. Убеждают, что дарение — это аналог завещания или договора пожизненной ренты, сулят ежемесячные выплаты и клятвенно обещают: квартира останется за вами до самой вашей смерти! Это </w:t>
      </w:r>
      <w:r>
        <w:rPr>
          <w:rFonts w:ascii="Times New Roman" w:hAnsi="Times New Roman" w:cs="Times New Roman"/>
          <w:sz w:val="28"/>
          <w:szCs w:val="28"/>
        </w:rPr>
        <w:t>становится решающим аргументом 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наивные старики подписывают д</w:t>
      </w:r>
      <w:r>
        <w:rPr>
          <w:rFonts w:ascii="Times New Roman" w:hAnsi="Times New Roman" w:cs="Times New Roman"/>
          <w:sz w:val="28"/>
          <w:szCs w:val="28"/>
        </w:rPr>
        <w:t xml:space="preserve">оговор и оказываются на улице. 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Особенно рискуют те, кто заключает договор дарения в простой письменной форме, то есть без нотариуса. Такая самодеятельность увеличивает вероятность того, что при составлении договора будут упущены </w:t>
      </w:r>
      <w:r w:rsidRPr="008C4DC0">
        <w:rPr>
          <w:rFonts w:ascii="Times New Roman" w:hAnsi="Times New Roman" w:cs="Times New Roman"/>
          <w:sz w:val="28"/>
          <w:szCs w:val="28"/>
        </w:rPr>
        <w:lastRenderedPageBreak/>
        <w:t>важные условия, допущены ошибки, которые могут привести к нарушению ваших прав и признанию сделки недействительной. В таком случае сторонам сделки приходится отстаивать свои права в суде, к</w:t>
      </w:r>
      <w:r>
        <w:rPr>
          <w:rFonts w:ascii="Times New Roman" w:hAnsi="Times New Roman" w:cs="Times New Roman"/>
          <w:sz w:val="28"/>
          <w:szCs w:val="28"/>
        </w:rPr>
        <w:t xml:space="preserve"> сожалению, не всегда успешно. </w:t>
      </w:r>
    </w:p>
    <w:p w:rsid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Чтобы свести к минимуму риски, лучше удостоверить договор нотариально. Ведь нотариус не только поможет составить проект договора, он обязательно разъяснит все правовые последствия шага, который вы собираетесь совершить, и станет гарантом того, что стороны не были введены в заблуждение и заключили именно договор дарения. Иногда даритель или его родственники пытаются оспорить договор дарения, убеждая суд в том, что даритель не понимал сути сделки, не отдавал себе отчет в том, как последствия будет иметь подписание договора, думал, что право собственности перейдет одаряемому только после его, дарителя, смерти и так далее. </w:t>
      </w:r>
    </w:p>
    <w:p w:rsid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В том случае, когда договор дарения удостоверен нотариусом, вероятность, что он будет оспорен, минимальна, ведь все нотариальные акты обладают повышенной доказательственной силой. Дополнительной гарантией могут стать материалы </w:t>
      </w:r>
      <w:proofErr w:type="spellStart"/>
      <w:r w:rsidRPr="008C4DC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C4DC0">
        <w:rPr>
          <w:rFonts w:ascii="Times New Roman" w:hAnsi="Times New Roman" w:cs="Times New Roman"/>
          <w:sz w:val="28"/>
          <w:szCs w:val="28"/>
        </w:rPr>
        <w:t xml:space="preserve">, право проводить которую дано нотариусу законом. Только нотариус может обеспечить соблюдение интересов как дарителя, так и одаряемого в случае попытки оспаривания сделки в суде. 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Удостоверяя договор дарения в соответствии с озвученной вами волей, нотариус проведет необходимый комплекс юридически значимых проверок в </w:t>
      </w:r>
      <w:r w:rsidRPr="008C4DC0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действующего законодательства. Если речь идет о дарении долей недвижимого имущества, то такой договор подлежит обязательному нотариальному удостоверению. Если же речь идет о целом недвижимом имуществе (квартире, доме, земельном участке), то у сторон есть право выбрать простую письменную форму или нотариальное удостоверение. Делая выбор важно понимать, что на сегодняшний день только нотариус несет полную имущественную ответственность за удостоверен</w:t>
      </w:r>
      <w:r>
        <w:rPr>
          <w:rFonts w:ascii="Times New Roman" w:hAnsi="Times New Roman" w:cs="Times New Roman"/>
          <w:sz w:val="28"/>
          <w:szCs w:val="28"/>
        </w:rPr>
        <w:t xml:space="preserve">ные сделки. 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Многие задаются вопросом: а можно ли забрать подарок обратно? Закон предусматривает возможность </w:t>
      </w:r>
      <w:r>
        <w:rPr>
          <w:rFonts w:ascii="Times New Roman" w:hAnsi="Times New Roman" w:cs="Times New Roman"/>
          <w:sz w:val="28"/>
          <w:szCs w:val="28"/>
        </w:rPr>
        <w:t>отмены дарения в случаях, если: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одаряемый совершил покушение на жизнь дарителя, жизнь кого-либо из членов его семьи или близких родственников либо умышленно причинил дарителю телесные повреждения. В случае умышленного лишения жизни дарителя одаряемым право требовать в суде отмены дарения пр</w:t>
      </w:r>
      <w:r>
        <w:rPr>
          <w:rFonts w:ascii="Times New Roman" w:hAnsi="Times New Roman" w:cs="Times New Roman"/>
          <w:sz w:val="28"/>
          <w:szCs w:val="28"/>
        </w:rPr>
        <w:t>инадлежит наследникам дарителя;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обращение одаряемого с подаренной вещью, представляющей для дарителя большую неимущественную ценность, создает угрозу ее безвозвратной утраты. В такой ситуации даритель вправе в судебном поря</w:t>
      </w:r>
      <w:r>
        <w:rPr>
          <w:rFonts w:ascii="Times New Roman" w:hAnsi="Times New Roman" w:cs="Times New Roman"/>
          <w:sz w:val="28"/>
          <w:szCs w:val="28"/>
        </w:rPr>
        <w:t>дке потребовать отмены дарения;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DC0">
        <w:rPr>
          <w:rFonts w:ascii="Times New Roman" w:hAnsi="Times New Roman" w:cs="Times New Roman"/>
          <w:sz w:val="28"/>
          <w:szCs w:val="28"/>
        </w:rPr>
        <w:t xml:space="preserve"> в самом договоре дарения предусмотрено право дарителя отменить дарение в случае, если он переживет одаряемого. В этом случае подаренная недвижимость вернется в собственность дарителя, а не будет наследоваться наследниками одаряемого.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>Важно знать и о том, в каких случаях дого</w:t>
      </w:r>
      <w:r>
        <w:rPr>
          <w:rFonts w:ascii="Times New Roman" w:hAnsi="Times New Roman" w:cs="Times New Roman"/>
          <w:sz w:val="28"/>
          <w:szCs w:val="28"/>
        </w:rPr>
        <w:t>вор дарения может быть оспорен: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>1. Если сделка недействительна по основаниям, установленным законом, в силу признания ее таковой с</w:t>
      </w:r>
      <w:r>
        <w:rPr>
          <w:rFonts w:ascii="Times New Roman" w:hAnsi="Times New Roman" w:cs="Times New Roman"/>
          <w:sz w:val="28"/>
          <w:szCs w:val="28"/>
        </w:rPr>
        <w:t>удом, она признается оспоримой.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>2. Если сделка, по основаниям, установленным законом и независимо от признания её судом недействительной, недействительна, то она ничтожна.</w:t>
      </w:r>
    </w:p>
    <w:p w:rsidR="008C4DC0" w:rsidRPr="008C4DC0" w:rsidRDefault="008C4DC0" w:rsidP="008C4DC0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t xml:space="preserve">Например, недействительными сделки могут быть те, которые нарушают требования закона или иного правового акта или совершены с целью, противной основам правопорядка или нравственности, или являются мнимыми (совершенными лишь для вида, без намерения создать соответствующие ей правовые последствия) и притворными (совершенными с целью прикрыть другую сделку, в том числе сделку на иных условиях). Также недействительными могут быть признаны сделки, совершенные гражданином, признанным недееспособным или ограниченным судом в дееспособности, несовершеннолетним гражданином, </w:t>
      </w:r>
      <w:proofErr w:type="gramStart"/>
      <w:r w:rsidRPr="008C4DC0">
        <w:rPr>
          <w:rFonts w:ascii="Times New Roman" w:hAnsi="Times New Roman" w:cs="Times New Roman"/>
          <w:sz w:val="28"/>
          <w:szCs w:val="28"/>
        </w:rPr>
        <w:t>сделки</w:t>
      </w:r>
      <w:proofErr w:type="gramEnd"/>
      <w:r w:rsidRPr="008C4DC0">
        <w:rPr>
          <w:rFonts w:ascii="Times New Roman" w:hAnsi="Times New Roman" w:cs="Times New Roman"/>
          <w:sz w:val="28"/>
          <w:szCs w:val="28"/>
        </w:rPr>
        <w:t xml:space="preserve"> совершенные без необходимого в силу закона согласия третьего лица или государственного органа либо органа местного самоуправления, совершенные под влиянием существенного заблуждения или под влиянием обмана, насилия, угрозы, или неблагоприятных обстоятельств.</w:t>
      </w: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Pr="008C4DC0" w:rsidRDefault="008C4DC0" w:rsidP="008C4DC0">
      <w:pPr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C0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оспаривания договора дарения, нарушенные права можно защитить в суде. Сроки для оспаривания договора предусмотрены статьей 181 ГК РФ и, в зависимости от оснований иска, варьируются от года до трех лет.</w:t>
      </w:r>
    </w:p>
    <w:p w:rsidR="008C4DC0" w:rsidRPr="008C4DC0" w:rsidRDefault="008C4DC0" w:rsidP="008C4D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A9" w:rsidRDefault="00D10CA9" w:rsidP="008C4D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8C4D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8C4D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8C4D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A9" w:rsidRDefault="00D10CA9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DC0" w:rsidRPr="00D12956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956" w:rsidRDefault="00D12956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956" w:rsidRPr="00CD16D8" w:rsidRDefault="00D12956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56">
        <w:rPr>
          <w:rFonts w:ascii="Times New Roman" w:hAnsi="Times New Roman" w:cs="Times New Roman"/>
          <w:sz w:val="28"/>
          <w:szCs w:val="28"/>
        </w:rPr>
        <w:t xml:space="preserve">Использована информация </w:t>
      </w:r>
      <w:r w:rsidR="00CD16D8">
        <w:rPr>
          <w:rFonts w:ascii="Times New Roman" w:hAnsi="Times New Roman" w:cs="Times New Roman"/>
          <w:sz w:val="28"/>
          <w:szCs w:val="28"/>
        </w:rPr>
        <w:t xml:space="preserve">сайта: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D16D8" w:rsidRPr="00132D8C">
          <w:rPr>
            <w:rStyle w:val="a5"/>
            <w:rFonts w:ascii="Times New Roman" w:hAnsi="Times New Roman" w:cs="Times New Roman"/>
            <w:sz w:val="28"/>
            <w:szCs w:val="28"/>
          </w:rPr>
          <w:t>https://notariat.ru/sovet/</w:t>
        </w:r>
      </w:hyperlink>
      <w:r w:rsidR="00CD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56" w:rsidRPr="00D12956" w:rsidRDefault="00D12956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4C8" w:rsidRDefault="00BC74C8" w:rsidP="00F73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D41" w:rsidRPr="00A36D41" w:rsidRDefault="00A36D41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818" w:rsidRDefault="00156818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DC0" w:rsidRDefault="008C4DC0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DC0" w:rsidRDefault="008C4DC0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818" w:rsidRDefault="00156818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16D8" w:rsidRDefault="00380C7B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Составитель: М.А. Рыжкова, </w:t>
      </w:r>
      <w:r w:rsidR="00AD6177">
        <w:rPr>
          <w:rFonts w:ascii="Times New Roman" w:hAnsi="Times New Roman" w:cs="Times New Roman"/>
          <w:i/>
          <w:sz w:val="28"/>
          <w:szCs w:val="28"/>
        </w:rPr>
        <w:t>зав. центром правовой информации</w:t>
      </w:r>
    </w:p>
    <w:p w:rsidR="008C4DC0" w:rsidRDefault="008C4DC0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74F" w:rsidRPr="00F738B0" w:rsidRDefault="0071274F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AA5" w:rsidRPr="00C60D71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</w:pPr>
      <w:r w:rsidRPr="00C60D71"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C60D71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C60D71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9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Сайт: </w:t>
      </w:r>
      <w:hyperlink r:id="rId10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мбиблиотека.рф</w:t>
        </w:r>
        <w:proofErr w:type="spellEnd"/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380C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4E0AA5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 w:rsidR="009503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586512"/>
            <wp:effectExtent l="0" t="0" r="0" b="0"/>
            <wp:docPr id="18" name="Рисунок 18" descr="C:\Users\ASUS\Desktop\цпи картин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цпи картинки\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23" cy="15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 w15:restartNumberingAfterBreak="0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6"/>
    <w:rsid w:val="000A5CB8"/>
    <w:rsid w:val="000C5D38"/>
    <w:rsid w:val="001005A0"/>
    <w:rsid w:val="00156818"/>
    <w:rsid w:val="0016114B"/>
    <w:rsid w:val="001F4BAB"/>
    <w:rsid w:val="00247F81"/>
    <w:rsid w:val="0028020E"/>
    <w:rsid w:val="00380C7B"/>
    <w:rsid w:val="004E0AA5"/>
    <w:rsid w:val="004E0AA7"/>
    <w:rsid w:val="00542E48"/>
    <w:rsid w:val="005D26CC"/>
    <w:rsid w:val="00613C28"/>
    <w:rsid w:val="006C76DE"/>
    <w:rsid w:val="0071274F"/>
    <w:rsid w:val="007C320D"/>
    <w:rsid w:val="00810781"/>
    <w:rsid w:val="00834108"/>
    <w:rsid w:val="008461E4"/>
    <w:rsid w:val="0085318A"/>
    <w:rsid w:val="008812D1"/>
    <w:rsid w:val="0088249A"/>
    <w:rsid w:val="00896710"/>
    <w:rsid w:val="008A3459"/>
    <w:rsid w:val="008C2DA6"/>
    <w:rsid w:val="008C4DC0"/>
    <w:rsid w:val="009503E2"/>
    <w:rsid w:val="00A24F52"/>
    <w:rsid w:val="00A36D41"/>
    <w:rsid w:val="00AA5605"/>
    <w:rsid w:val="00AB1D08"/>
    <w:rsid w:val="00AD6177"/>
    <w:rsid w:val="00B62D92"/>
    <w:rsid w:val="00BA2B16"/>
    <w:rsid w:val="00BC74C8"/>
    <w:rsid w:val="00C229E5"/>
    <w:rsid w:val="00C429AC"/>
    <w:rsid w:val="00C60D71"/>
    <w:rsid w:val="00CD16D8"/>
    <w:rsid w:val="00D06486"/>
    <w:rsid w:val="00D10CA9"/>
    <w:rsid w:val="00D11EDE"/>
    <w:rsid w:val="00D12956"/>
    <w:rsid w:val="00DF49F6"/>
    <w:rsid w:val="00E96EE3"/>
    <w:rsid w:val="00F738B0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EE99-0ACB-4CFF-ABD6-642ACE4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riat.ru/sov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&#1084;&#1073;&#1080;&#1073;&#1083;&#1080;&#1086;&#1090;&#1077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ioboyan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72A2-0CF2-4602-ABE0-D7A8E0BE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Друг</cp:lastModifiedBy>
  <cp:revision>2</cp:revision>
  <cp:lastPrinted>2018-04-16T07:59:00Z</cp:lastPrinted>
  <dcterms:created xsi:type="dcterms:W3CDTF">2020-09-09T07:37:00Z</dcterms:created>
  <dcterms:modified xsi:type="dcterms:W3CDTF">2020-09-09T07:37:00Z</dcterms:modified>
</cp:coreProperties>
</file>